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75"/>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08"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75"/>
              </w:tabs>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jc w:val="both"/>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bookmarkStart w:colFirst="0" w:colLast="0" w:name="_heading=h.1fob9te" w:id="2"/>
      <w:bookmarkEnd w:id="2"/>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The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should engage with Buyers requests who wish to enter into</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dialogue on its Statement of Requirements and Deliverables in accordance with paragraph 3 of Framework Schedule 7 (Call-Off Award Procedure)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The Supplier is not obliged to submit a proposal as a result of the dialogue process, but should notify the Buyer and CCS, promptly of its decision not to proceed and the reasons for its decision.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 (including but not limited to those instances where the Supplier and Other Contracting Authority were unable to reach an acceptable solution in the dialogue process as described in paragraph 3.8).</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jc w:val="both"/>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Supplier’s</w:t>
      </w:r>
      <w:r w:rsidDel="00000000" w:rsidR="00000000" w:rsidRPr="00000000">
        <w:rPr>
          <w:rFonts w:ascii="Arial" w:cs="Arial" w:eastAsia="Arial" w:hAnsi="Arial"/>
          <w:color w:val="000000"/>
          <w:sz w:val="24"/>
          <w:szCs w:val="24"/>
          <w:rtl w:val="0"/>
        </w:rPr>
        <w:t xml:space="preserve"> performance will be measured by the following Performance Indicators (“PI”):</w:t>
      </w:r>
    </w:p>
    <w:tbl>
      <w:tblPr>
        <w:tblStyle w:val="Table2"/>
        <w:tblW w:w="871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0"/>
        <w:gridCol w:w="1470"/>
        <w:gridCol w:w="2955"/>
        <w:tblGridChange w:id="0">
          <w:tblGrid>
            <w:gridCol w:w="4290"/>
            <w:gridCol w:w="1470"/>
            <w:gridCol w:w="295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276"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80" w:before="80" w:line="276"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276"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80" w:before="8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Network Access: </w:t>
            </w:r>
            <w:r w:rsidDel="00000000" w:rsidR="00000000" w:rsidRPr="00000000">
              <w:rPr>
                <w:rFonts w:ascii="Arial" w:cs="Arial" w:eastAsia="Arial" w:hAnsi="Arial"/>
                <w:sz w:val="24"/>
                <w:szCs w:val="24"/>
                <w:rtl w:val="0"/>
              </w:rPr>
              <w:t xml:space="preserve">Supplier to maintain a network which ensure access as follows:</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a UK wide network of Outlets, including coverage in both rural and urban areas, which, at a minimum, ensures that on average 95% of the UK population are within 10 miles of an Outlet.</w:t>
            </w:r>
          </w:p>
          <w:p w:rsidR="00000000" w:rsidDel="00000000" w:rsidP="00000000" w:rsidRDefault="00000000" w:rsidRPr="00000000" w14:paraId="0000002B">
            <w:pPr>
              <w:spacing w:after="80" w:before="80" w:lineRule="auto"/>
              <w:jc w:val="both"/>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Quarterly Report</w:t>
            </w:r>
            <w:r w:rsidDel="00000000" w:rsidR="00000000" w:rsidRPr="00000000">
              <w:rPr>
                <w:rtl w:val="0"/>
              </w:rPr>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Information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MI to be returned to CCS by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276"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Receipt via MISO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Framework levy invoices to be paid within 30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Receipt by finance department/system.</w:t>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Criteria</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Social Value statement to be submitted each year. (Contents of statement will be defined post award)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spacing w:after="80" w:before="8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3D">
      <w:pPr>
        <w:tabs>
          <w:tab w:val="left" w:leader="none" w:pos="1134"/>
        </w:tabs>
        <w:spacing w:after="120" w:before="12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41">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42">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7">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A">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Bold" w:cs="Arial Bold" w:eastAsia="Arial Bold" w:hAnsi="Arial Bold"/>
          <w:b w:val="1"/>
          <w:color w:val="000000"/>
          <w:sz w:val="24"/>
          <w:szCs w:val="24"/>
        </w:rPr>
      </w:pPr>
      <w:bookmarkStart w:colFirst="0" w:colLast="0" w:name="_heading=h.3dy6vkm" w:id="6"/>
      <w:bookmarkEnd w:id="6"/>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5">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5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7">
      <w:pPr>
        <w:numPr>
          <w:ilvl w:val="2"/>
          <w:numId w:val="2"/>
        </w:numP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58">
      <w:pPr>
        <w:numPr>
          <w:ilvl w:val="2"/>
          <w:numId w:val="2"/>
        </w:numP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9">
      <w:pPr>
        <w:numPr>
          <w:ilvl w:val="2"/>
          <w:numId w:val="2"/>
        </w:numP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9 (Security); and</w:t>
      </w:r>
      <w:r w:rsidDel="00000000" w:rsidR="00000000" w:rsidRPr="00000000">
        <w:rPr>
          <w:rtl w:val="0"/>
        </w:rPr>
      </w:r>
    </w:p>
    <w:p w:rsidR="00000000" w:rsidDel="00000000" w:rsidP="00000000" w:rsidRDefault="00000000" w:rsidRPr="00000000" w14:paraId="0000005A">
      <w:pPr>
        <w:numPr>
          <w:ilvl w:val="2"/>
          <w:numId w:val="2"/>
        </w:numPr>
        <w:tabs>
          <w:tab w:val="left" w:leader="none" w:pos="1985"/>
        </w:tabs>
        <w:spacing w:after="120" w:before="120" w:line="240" w:lineRule="auto"/>
        <w:ind w:left="2422" w:hanging="720"/>
        <w:jc w:val="both"/>
        <w:rPr/>
      </w:pPr>
      <w:r w:rsidDel="00000000" w:rsidR="00000000" w:rsidRPr="00000000">
        <w:rPr>
          <w:rFonts w:ascii="Arial" w:cs="Arial" w:eastAsia="Arial" w:hAnsi="Arial"/>
          <w:color w:val="000000"/>
          <w:sz w:val="24"/>
          <w:szCs w:val="24"/>
          <w:rtl w:val="0"/>
        </w:rPr>
        <w:t xml:space="preserve">Call-Off Schedule 16 (Benchmarking).</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5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as reasonably required by CCS in relation to the Supported Schedules including:</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w:t>
      </w:r>
      <w:r w:rsidDel="00000000" w:rsidR="00000000" w:rsidRPr="00000000">
        <w:rPr>
          <w:rFonts w:ascii="Arial" w:cs="Arial" w:eastAsia="Arial" w:hAnsi="Arial"/>
          <w:sz w:val="24"/>
          <w:szCs w:val="24"/>
          <w:rtl w:val="0"/>
        </w:rPr>
        <w:t xml:space="preserve">notify the</w:t>
      </w:r>
      <w:r w:rsidDel="00000000" w:rsidR="00000000" w:rsidRPr="00000000">
        <w:rPr>
          <w:rFonts w:ascii="Arial" w:cs="Arial" w:eastAsia="Arial" w:hAnsi="Arial"/>
          <w:color w:val="000000"/>
          <w:sz w:val="24"/>
          <w:szCs w:val="24"/>
          <w:rtl w:val="0"/>
        </w:rPr>
        <w:t xml:space="preserve"> Supplier from time to time.</w:t>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6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6">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7">
      <w:pPr>
        <w:numPr>
          <w:ilvl w:val="2"/>
          <w:numId w:val="2"/>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Call-Off Schedule 9 (Security) - the Supplier shall:</w:t>
      </w:r>
      <w:r w:rsidDel="00000000" w:rsidR="00000000" w:rsidRPr="00000000">
        <w:rPr>
          <w:rtl w:val="0"/>
        </w:rPr>
      </w:r>
    </w:p>
    <w:p w:rsidR="00000000" w:rsidDel="00000000" w:rsidP="00000000" w:rsidRDefault="00000000" w:rsidRPr="00000000" w14:paraId="00000068">
      <w:pPr>
        <w:numPr>
          <w:ilvl w:val="3"/>
          <w:numId w:val="2"/>
        </w:numPr>
        <w:tabs>
          <w:tab w:val="left" w:leader="none" w:pos="1985"/>
          <w:tab w:val="left" w:leader="none" w:pos="1985"/>
          <w:tab w:val="left" w:leader="none" w:pos="2552"/>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9">
      <w:pPr>
        <w:numPr>
          <w:ilvl w:val="3"/>
          <w:numId w:val="2"/>
        </w:numPr>
        <w:tabs>
          <w:tab w:val="left" w:leader="none" w:pos="1985"/>
          <w:tab w:val="left" w:leader="none" w:pos="1985"/>
          <w:tab w:val="left" w:leader="none" w:pos="2552"/>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A">
      <w:pPr>
        <w:numPr>
          <w:ilvl w:val="2"/>
          <w:numId w:val="2"/>
        </w:numPr>
        <w:tabs>
          <w:tab w:val="left" w:leader="none" w:pos="1985"/>
          <w:tab w:val="left" w:leader="none" w:pos="1985"/>
          <w:tab w:val="left" w:leader="none" w:pos="2552"/>
        </w:tabs>
        <w:spacing w:after="120" w:before="120" w:line="240" w:lineRule="auto"/>
        <w:ind w:left="2422"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Call-Off Schedule 16 (Benchmarking) - the Supplier:</w:t>
      </w:r>
      <w:r w:rsidDel="00000000" w:rsidR="00000000" w:rsidRPr="00000000">
        <w:rPr>
          <w:rtl w:val="0"/>
        </w:rPr>
      </w:r>
    </w:p>
    <w:p w:rsidR="00000000" w:rsidDel="00000000" w:rsidP="00000000" w:rsidRDefault="00000000" w:rsidRPr="00000000" w14:paraId="0000006B">
      <w:pPr>
        <w:numPr>
          <w:ilvl w:val="3"/>
          <w:numId w:val="2"/>
        </w:numPr>
        <w:tabs>
          <w:tab w:val="left" w:leader="none" w:pos="1985"/>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6C">
      <w:pPr>
        <w:numPr>
          <w:ilvl w:val="3"/>
          <w:numId w:val="2"/>
        </w:numPr>
        <w:tabs>
          <w:tab w:val="left" w:leader="none" w:pos="1985"/>
          <w:tab w:val="left" w:leader="none" w:pos="1985"/>
          <w:tab w:val="left" w:leader="none" w:pos="2552"/>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6D">
      <w:pPr>
        <w:numPr>
          <w:ilvl w:val="3"/>
          <w:numId w:val="2"/>
        </w:numPr>
        <w:tabs>
          <w:tab w:val="left" w:leader="none" w:pos="1985"/>
          <w:tab w:val="left" w:leader="none" w:pos="1985"/>
          <w:tab w:val="left" w:leader="none" w:pos="2552"/>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6E">
      <w:pPr>
        <w:tabs>
          <w:tab w:val="left" w:leader="none" w:pos="1985"/>
          <w:tab w:val="left" w:leader="none" w:pos="1985"/>
          <w:tab w:val="left" w:leader="none" w:pos="2552"/>
        </w:tabs>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2"/>
          <w:numId w:val="2"/>
        </w:numPr>
        <w:tabs>
          <w:tab w:val="left" w:leader="none" w:pos="1985"/>
          <w:tab w:val="left" w:leader="none" w:pos="1985"/>
          <w:tab w:val="left" w:leader="none" w:pos="2552"/>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Call-Off Schedule 3 (Continuous Improvement) - the Supplier shall:</w:t>
      </w:r>
      <w:r w:rsidDel="00000000" w:rsidR="00000000" w:rsidRPr="00000000">
        <w:rPr>
          <w:rtl w:val="0"/>
        </w:rPr>
      </w:r>
    </w:p>
    <w:p w:rsidR="00000000" w:rsidDel="00000000" w:rsidP="00000000" w:rsidRDefault="00000000" w:rsidRPr="00000000" w14:paraId="00000070">
      <w:pPr>
        <w:numPr>
          <w:ilvl w:val="3"/>
          <w:numId w:val="1"/>
        </w:numPr>
        <w:tabs>
          <w:tab w:val="left" w:leader="none" w:pos="1985"/>
          <w:tab w:val="left" w:leader="none" w:pos="1985"/>
          <w:tab w:val="left" w:leader="none" w:pos="2552"/>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adopt a policy of continuous improvement in relation to the Deliverables;</w:t>
      </w:r>
    </w:p>
    <w:p w:rsidR="00000000" w:rsidDel="00000000" w:rsidP="00000000" w:rsidRDefault="00000000" w:rsidRPr="00000000" w14:paraId="00000071">
      <w:pPr>
        <w:numPr>
          <w:ilvl w:val="3"/>
          <w:numId w:val="1"/>
        </w:numPr>
        <w:tabs>
          <w:tab w:val="left" w:leader="none" w:pos="1985"/>
          <w:tab w:val="left" w:leader="none" w:pos="1985"/>
          <w:tab w:val="left" w:leader="none" w:pos="2552"/>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rebuchet MS"/>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Trebuchet MS" w:cs="Trebuchet MS" w:eastAsia="Trebuchet MS" w:hAnsi="Trebuchet MS"/>
        <w:color w:val="000000"/>
        <w:sz w:val="16"/>
        <w:szCs w:val="16"/>
      </w:rPr>
    </w:pPr>
    <w:bookmarkStart w:colFirst="0" w:colLast="0" w:name="_heading=h.2s8eyo1" w:id="9"/>
    <w:bookmarkEnd w:id="9"/>
    <w:r w:rsidDel="00000000" w:rsidR="00000000" w:rsidRPr="00000000">
      <w:rPr>
        <w:rFonts w:ascii="Trebuchet MS" w:cs="Trebuchet MS" w:eastAsia="Trebuchet MS" w:hAnsi="Trebuchet MS"/>
        <w:color w:val="000000"/>
        <w:sz w:val="16"/>
        <w:szCs w:val="16"/>
        <w:rtl w:val="0"/>
      </w:rPr>
      <w:t xml:space="preserve">LEGAL\61243321v1</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26in1rg" w:id="10"/>
    <w:bookmarkEnd w:id="10"/>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LEGAL\61602691v1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Trebuchet MS" w:cs="Trebuchet MS" w:eastAsia="Trebuchet MS" w:hAnsi="Trebuchet MS"/>
        <w:color w:val="000000"/>
        <w:sz w:val="16"/>
        <w:szCs w:val="16"/>
      </w:rPr>
    </w:pPr>
    <w:bookmarkStart w:colFirst="0" w:colLast="0" w:name="_heading=h.17dp8vu" w:id="11"/>
    <w:bookmarkEnd w:id="11"/>
    <w:r w:rsidDel="00000000" w:rsidR="00000000" w:rsidRPr="00000000">
      <w:rPr>
        <w:rFonts w:ascii="Trebuchet MS" w:cs="Trebuchet MS" w:eastAsia="Trebuchet MS" w:hAnsi="Trebuchet MS"/>
        <w:color w:val="000000"/>
        <w:sz w:val="16"/>
        <w:szCs w:val="16"/>
        <w:rtl w:val="0"/>
      </w:rPr>
      <w:t xml:space="preserve">LEGAL\61243321v1</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lnxbz9" w:id="12"/>
    <w:bookmarkEnd w:id="12"/>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LEGAL\61602691v1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0">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Trebuchet MS" w:cs="Trebuchet MS" w:eastAsia="Trebuchet MS" w:hAnsi="Trebuchet MS"/>
        <w:color w:val="000000"/>
        <w:sz w:val="16"/>
        <w:szCs w:val="16"/>
      </w:rPr>
    </w:pPr>
    <w:bookmarkStart w:colFirst="0" w:colLast="0" w:name="_heading=h.3rdcrjn" w:id="13"/>
    <w:bookmarkEnd w:id="13"/>
    <w:r w:rsidDel="00000000" w:rsidR="00000000" w:rsidRPr="00000000">
      <w:rPr>
        <w:rFonts w:ascii="Trebuchet MS" w:cs="Trebuchet MS" w:eastAsia="Trebuchet MS" w:hAnsi="Trebuchet MS"/>
        <w:color w:val="000000"/>
        <w:sz w:val="16"/>
        <w:szCs w:val="16"/>
        <w:rtl w:val="0"/>
      </w:rPr>
      <w:t xml:space="preserve">LEGAL\61243321v1</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i w:val="0"/>
        <w:smallCaps w:val="0"/>
        <w:strike w:val="0"/>
        <w:color w:val="000000"/>
        <w:sz w:val="16"/>
        <w:szCs w:val="16"/>
        <w:u w:val="none"/>
        <w:shd w:fill="auto" w:val="clear"/>
        <w:vertAlign w:val="baseline"/>
      </w:rPr>
    </w:pPr>
    <w:bookmarkStart w:colFirst="0" w:colLast="0" w:name="_heading=h.35nkun2" w:id="14"/>
    <w:bookmarkEnd w:id="14"/>
    <w:r w:rsidDel="00000000" w:rsidR="00000000" w:rsidRPr="00000000">
      <w:rPr>
        <w:rFonts w:ascii="Trebuchet MS" w:cs="Trebuchet MS" w:eastAsia="Trebuchet MS" w:hAnsi="Trebuchet MS"/>
        <w:b w:val="0"/>
        <w:i w:val="0"/>
        <w:smallCaps w:val="0"/>
        <w:strike w:val="0"/>
        <w:color w:val="000000"/>
        <w:sz w:val="16"/>
        <w:szCs w:val="16"/>
        <w:u w:val="none"/>
        <w:shd w:fill="auto" w:val="clear"/>
        <w:vertAlign w:val="baseline"/>
        <w:rtl w:val="0"/>
      </w:rPr>
      <w:t xml:space="preserve">LEGAL\61602691v1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DocID" w:customStyle="1">
    <w:name w:val="DocID"/>
    <w:basedOn w:val="Footer"/>
    <w:next w:val="Footer"/>
    <w:link w:val="DocIDChar"/>
    <w:rsid w:val="006A1280"/>
    <w:pPr>
      <w:tabs>
        <w:tab w:val="clear" w:pos="4513"/>
        <w:tab w:val="clear" w:pos="9026"/>
      </w:tabs>
    </w:pPr>
    <w:rPr>
      <w:rFonts w:ascii="Trebuchet MS" w:cs="Times New Roman" w:eastAsia="Times New Roman" w:hAnsi="Trebuchet MS"/>
      <w:sz w:val="16"/>
      <w:szCs w:val="20"/>
    </w:rPr>
  </w:style>
  <w:style w:type="character" w:styleId="DocIDChar" w:customStyle="1">
    <w:name w:val="DocID Char"/>
    <w:basedOn w:val="DefaultParagraphFont"/>
    <w:link w:val="DocID"/>
    <w:rsid w:val="006A1280"/>
    <w:rPr>
      <w:rFonts w:ascii="Trebuchet MS" w:cs="Times New Roman" w:eastAsia="Times New Roman" w:hAnsi="Trebuchet MS"/>
      <w:sz w:val="16"/>
      <w:szCs w:val="20"/>
      <w:lang w:eastAsia="en-GB" w:val="en-GB"/>
    </w:r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s4CzBxM55bDuFlRk2FZeDQPfg==">CgMxLjAyCGguZ2pkZ3hzMgloLjMwajB6bGwyCWguMWZvYjl0ZTIJaC4zem55c2g3MgloLjJldDkycDAyCGgudHlqY3d0MgloLjNkeTZ2a20yCWguMXQzaDVzZjIJaC40ZDM0b2c4MgloLjJzOGV5bzEyCWguMjZpbjFyZzIJaC4xN2RwOHZ1MghoLmxueGJ6OTIJaC4zcmRjcmpuMgloLjM1bmt1bjI4AGpHCjVzdWdnZXN0SWRJbXBvcnQ2OTRlMzYwNS0wZjYxLTRkYzAtOTA0Zi0xOTIwNjY3Nzg4YjdfMRIOTG91aXNlIEJlbm5ldHRyITE3Sk9Kd0FnaEhvY2I5OVBvN3A5X2UtZFVPb3JpTkZa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2023-05-04T10:17:00Z</dcterms:created>
  <dc:creator>Louise Bennett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US_DocIDString">
    <vt:lpwstr>LEGAL\61602691v1</vt:lpwstr>
  </property>
  <property fmtid="{D5CDD505-2E9C-101B-9397-08002B2CF9AE}" pid="4" name="CUS_DocIDChunk0">
    <vt:lpwstr>LEGAL\61602691v1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ies>
</file>